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D20A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D20A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8075BD" w:rsidP="00D20A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075BD">
        <w:rPr>
          <w:rFonts w:ascii="Times New Roman" w:hAnsi="Times New Roman"/>
          <w:b/>
          <w:caps/>
          <w:sz w:val="26"/>
          <w:szCs w:val="26"/>
        </w:rPr>
        <w:t>М</w:t>
      </w:r>
      <w:r>
        <w:rPr>
          <w:rFonts w:ascii="Times New Roman" w:hAnsi="Times New Roman"/>
          <w:b/>
          <w:caps/>
          <w:sz w:val="26"/>
          <w:szCs w:val="26"/>
        </w:rPr>
        <w:t xml:space="preserve">униципальное </w:t>
      </w:r>
      <w:r w:rsidR="00846EE2">
        <w:rPr>
          <w:rFonts w:ascii="Times New Roman" w:hAnsi="Times New Roman"/>
          <w:b/>
          <w:caps/>
          <w:sz w:val="26"/>
          <w:szCs w:val="26"/>
        </w:rPr>
        <w:t>бюджетное учреждение культуры</w:t>
      </w:r>
      <w:r w:rsidRPr="008075BD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D20A9C">
        <w:rPr>
          <w:rFonts w:ascii="Times New Roman" w:hAnsi="Times New Roman"/>
          <w:b/>
          <w:caps/>
          <w:sz w:val="26"/>
          <w:szCs w:val="26"/>
        </w:rPr>
        <w:br/>
      </w:r>
      <w:r w:rsidRPr="008075BD">
        <w:rPr>
          <w:rFonts w:ascii="Times New Roman" w:hAnsi="Times New Roman"/>
          <w:b/>
          <w:caps/>
          <w:sz w:val="26"/>
          <w:szCs w:val="26"/>
        </w:rPr>
        <w:t>«</w:t>
      </w:r>
      <w:r w:rsidR="00846EE2">
        <w:rPr>
          <w:rFonts w:ascii="Times New Roman" w:hAnsi="Times New Roman"/>
          <w:b/>
          <w:caps/>
          <w:sz w:val="26"/>
          <w:szCs w:val="26"/>
        </w:rPr>
        <w:t>центр историко-культурного наследия г. челябинска</w:t>
      </w:r>
      <w:r w:rsidRPr="008075BD">
        <w:rPr>
          <w:rFonts w:ascii="Times New Roman" w:hAnsi="Times New Roman"/>
          <w:b/>
          <w:caps/>
          <w:sz w:val="26"/>
          <w:szCs w:val="26"/>
        </w:rPr>
        <w:t>»</w:t>
      </w:r>
    </w:p>
    <w:p w:rsidR="008075BD" w:rsidRPr="00D20A9C" w:rsidRDefault="008075BD" w:rsidP="00D20A9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8075BD">
        <w:rPr>
          <w:rFonts w:ascii="Times New Roman" w:hAnsi="Times New Roman"/>
          <w:b/>
          <w:caps/>
          <w:sz w:val="26"/>
          <w:szCs w:val="26"/>
        </w:rPr>
        <w:t>(М</w:t>
      </w:r>
      <w:r w:rsidR="00846EE2">
        <w:rPr>
          <w:rFonts w:ascii="Times New Roman" w:hAnsi="Times New Roman"/>
          <w:b/>
          <w:caps/>
          <w:sz w:val="26"/>
          <w:szCs w:val="26"/>
        </w:rPr>
        <w:t>БУК</w:t>
      </w:r>
      <w:r w:rsidRPr="008075BD">
        <w:rPr>
          <w:rFonts w:ascii="Times New Roman" w:hAnsi="Times New Roman"/>
          <w:b/>
          <w:caps/>
          <w:sz w:val="26"/>
          <w:szCs w:val="26"/>
        </w:rPr>
        <w:t xml:space="preserve"> «</w:t>
      </w:r>
      <w:r w:rsidR="00846EE2">
        <w:rPr>
          <w:rFonts w:ascii="Times New Roman" w:hAnsi="Times New Roman"/>
          <w:b/>
          <w:caps/>
          <w:sz w:val="26"/>
          <w:szCs w:val="26"/>
        </w:rPr>
        <w:t>ЦИКНЧ</w:t>
      </w:r>
      <w:r w:rsidRPr="008075BD">
        <w:rPr>
          <w:rFonts w:ascii="Times New Roman" w:hAnsi="Times New Roman"/>
          <w:b/>
          <w:caps/>
          <w:sz w:val="26"/>
          <w:szCs w:val="26"/>
        </w:rPr>
        <w:t>»)</w:t>
      </w:r>
      <w:r w:rsidR="00D20A9C">
        <w:rPr>
          <w:rFonts w:ascii="Times New Roman" w:hAnsi="Times New Roman"/>
          <w:b/>
          <w:caps/>
          <w:sz w:val="26"/>
          <w:szCs w:val="26"/>
        </w:rPr>
        <w:br/>
      </w:r>
      <w:r w:rsidR="00D20A9C" w:rsidRPr="00D20A9C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8075BD" w:rsidRPr="00D20A9C" w:rsidRDefault="008075BD" w:rsidP="00D20A9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D20A9C">
        <w:rPr>
          <w:rFonts w:ascii="Times New Roman" w:hAnsi="Times New Roman"/>
          <w:caps/>
          <w:sz w:val="26"/>
          <w:szCs w:val="26"/>
        </w:rPr>
        <w:t>1</w:t>
      </w:r>
      <w:r w:rsidR="00846EE2" w:rsidRPr="00D20A9C">
        <w:rPr>
          <w:rFonts w:ascii="Times New Roman" w:hAnsi="Times New Roman"/>
          <w:caps/>
          <w:sz w:val="26"/>
          <w:szCs w:val="26"/>
        </w:rPr>
        <w:t>9</w:t>
      </w:r>
      <w:r w:rsidRPr="00D20A9C">
        <w:rPr>
          <w:rFonts w:ascii="Times New Roman" w:hAnsi="Times New Roman"/>
          <w:caps/>
          <w:sz w:val="26"/>
          <w:szCs w:val="26"/>
        </w:rPr>
        <w:t>.0</w:t>
      </w:r>
      <w:r w:rsidR="00846EE2" w:rsidRPr="00D20A9C">
        <w:rPr>
          <w:rFonts w:ascii="Times New Roman" w:hAnsi="Times New Roman"/>
          <w:caps/>
          <w:sz w:val="26"/>
          <w:szCs w:val="26"/>
        </w:rPr>
        <w:t>4</w:t>
      </w:r>
      <w:r w:rsidRPr="00D20A9C">
        <w:rPr>
          <w:rFonts w:ascii="Times New Roman" w:hAnsi="Times New Roman"/>
          <w:caps/>
          <w:sz w:val="26"/>
          <w:szCs w:val="26"/>
        </w:rPr>
        <w:t>.199</w:t>
      </w:r>
      <w:r w:rsidR="00846EE2" w:rsidRPr="00D20A9C">
        <w:rPr>
          <w:rFonts w:ascii="Times New Roman" w:hAnsi="Times New Roman"/>
          <w:caps/>
          <w:sz w:val="26"/>
          <w:szCs w:val="26"/>
        </w:rPr>
        <w:t>3</w:t>
      </w:r>
      <w:r w:rsidRPr="00D20A9C">
        <w:rPr>
          <w:rFonts w:ascii="Times New Roman" w:hAnsi="Times New Roman"/>
          <w:caps/>
          <w:sz w:val="26"/>
          <w:szCs w:val="26"/>
        </w:rPr>
        <w:t xml:space="preserve"> – </w:t>
      </w:r>
    </w:p>
    <w:p w:rsidR="00E70EDA" w:rsidRPr="00E70EDA" w:rsidRDefault="00E70EDA" w:rsidP="00D20A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46EE2">
        <w:rPr>
          <w:rFonts w:ascii="Times New Roman" w:hAnsi="Times New Roman" w:cs="Times New Roman"/>
          <w:b/>
          <w:sz w:val="26"/>
          <w:szCs w:val="26"/>
        </w:rPr>
        <w:t>31</w:t>
      </w:r>
    </w:p>
    <w:p w:rsidR="00E70EDA" w:rsidRPr="007E1E55" w:rsidRDefault="00E70EDA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8075BD">
        <w:rPr>
          <w:rFonts w:ascii="Times New Roman" w:hAnsi="Times New Roman" w:cs="Times New Roman"/>
          <w:b/>
          <w:sz w:val="26"/>
          <w:szCs w:val="26"/>
        </w:rPr>
        <w:t>199</w:t>
      </w:r>
      <w:r w:rsidR="00846EE2">
        <w:rPr>
          <w:rFonts w:ascii="Times New Roman" w:hAnsi="Times New Roman" w:cs="Times New Roman"/>
          <w:b/>
          <w:sz w:val="26"/>
          <w:szCs w:val="26"/>
        </w:rPr>
        <w:t>3</w:t>
      </w:r>
      <w:r w:rsidR="00197167">
        <w:rPr>
          <w:rFonts w:ascii="Times New Roman" w:hAnsi="Times New Roman" w:cs="Times New Roman"/>
          <w:b/>
          <w:sz w:val="26"/>
          <w:szCs w:val="26"/>
        </w:rPr>
        <w:t>–2019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75BD">
        <w:rPr>
          <w:rFonts w:ascii="Times New Roman" w:hAnsi="Times New Roman" w:cs="Times New Roman"/>
          <w:b/>
          <w:sz w:val="26"/>
          <w:szCs w:val="26"/>
        </w:rPr>
        <w:t>ы</w:t>
      </w:r>
    </w:p>
    <w:p w:rsidR="0039320C" w:rsidRDefault="0039320C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46EE2" w:rsidRP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Центр историко-культурного наследия г. Челябинска (19.04.1993–22.04.1996)</w:t>
      </w:r>
    </w:p>
    <w:p w:rsidR="00846EE2" w:rsidRP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Муниципальное учреждение «Центр историко-культурного наследия г. Челябинска» (22.04.1996–15.12.2011)</w:t>
      </w:r>
    </w:p>
    <w:p w:rsidR="00A07245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МБУК «Центр историко-культурного наследия г. Челябинска» (МБУК ЦИКНЧ) (с 15.12.2011)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46EE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Центре историко-культурного наследия г. Челябинска, о работе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фондово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-закупочной комиссии, методического Совета и библиотеки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государственной экспертной комиссии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18.01.1993–20.12.1993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 директора Центра по основной деятельности за июнь 1993 – 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30.06.1993–01.10.1997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№ 1–3 памятников истории и культуры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(предложения, распоряжения, протоколы, переписка) по установке мемориальных досок в г. Челябинске за 1993–2004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№ 4 памятников истории и культуры Центра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Список-перечень зданий-памятников местного значения Центра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муниципального учреждения «Центр историко-культурного наследия города Челябинска»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совещаний при директоре Центра за февраль–апрель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17.02.1997–07.04.1997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памятников декоративно-монументального искусства и памятных знаков на центральных улицах и площадях г. Челябинска, не стоящих на государственной охране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мемориальных досок, стоящих на учете в государственном органе охраны памятников Центра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Центра за февраль 1999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05.02.1999–03.12.2003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8 научно-практической конференции Центра «Христианство на Урале»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к выставке Центра «Сквозь кисейный занавес окна: разноцветный Челябинск Алексея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Шибкова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исторических и архитектурных памятников, объектов культуры Центрального района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мемориальных досок города Челябинска за 2000–2002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275–296 директора Центра по основной деятельности за февраль–декабрь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16.02.2001–17.12.2001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 работе и мероприятия Центра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научно-практической конференции Центра «Вдали от столиц: страницы городского быта»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6–45 директора Центра по основной деятельности за март–декабрь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28.03.2002–28.12.2002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(грамота и благодарственное письмо), полученные Центром за работу по сохранению исторических и культурных ценностей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муниципального учреждения «Центр историко-культурного наследия города Челябинска» от 17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1–32 директора Центра по основной деятельности за май–декабрь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10 научной конференции Центра «Краеведение как явление Культуры», посвященной 10-летию деятельности Центра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(почетные грамоты, благодарственные письма и т.п.), полученные Центром по случаю 10-летней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памятников монументального искусства не федерального значения, находящихся на балансе Центра,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мемориальных досок города Челябинска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D99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133D99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1–18 директора Центра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06.01.2004–22.12.2004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(программа, пресс-релиз, приглашения и др.) XI научной конференции Центра «Неизвестная война: малоизученные страницы Великой Отечественной (история Челябинска периода войны 1941–1945 гг.)»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выявленных объектов города Челябинска, представляющих историческую, художественную или культурную ценность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памятников монументального искусства и мемориальных досок военной тематики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D99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133D99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1–40 директора Центра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на содержание Центра (бюджетная роспись)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об исполнении сметы доходов и расходов, и пояснительная записка к нему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пресс-релиз и др.) научной конференции «Культура Урала XX века»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памятников истории и культуры, информационные сведения об объектах культурного наследия города 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справки «Об историческом развитии г. Челябинска», «Челябинск в годы Великой Отечественной войны», составленные работниками Центра в 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(распоряжения, протоколы, предложения, переписка) по установке мемориальных досок в городе Челябинске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D99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133D99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5–34 директора Центра по основной деятельности за февраль–ноябрь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22.02.2006–30.11.2006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мемориальных досках, установленных в Челябинске за 1993–2006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(распоряжения, протоколы, предложения, переписка) по установке мемориальных досок в городе Челябинске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выявленных объектов культурного наследия Челябинской области (город Челябинск), представляющих историческую, художественную или иную культурную ценность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расходов, и бухгалтерский отчет об ее исполнении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3–32 директора Центра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10.02.2007–06.12.2007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1 января, 1 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«Издательская деятельность Центра историко-культурного наследия города Челябинска за период 2001–2007 гг.»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(приглашение, пресс-релиз) по подготовке и проведению заседания «круглого стола» по теме «Художественная жизнь Челябинска в 1930–1940-е гг.» от 26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Главы города об установке мемориальных досок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 С., Гариной Г. С. и Ведерникову Г. Г.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доходов и расходов по бюджетной и внебюджетной деятельности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2–51 директора Центра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24.01.2008–03.12.2008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Главы города от 30.06.2008 № 2258 об установке мемориальной доски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Нигматулиной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М. в 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 распорядителя, распорядителя, получателя бюджетных средств, главного администратора, отчет об исполнении бюджета гл. распорядителя, отчет об исполнении смет доходов и расходов по приносящей доход деятельности гл. распорядителя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1–70 директора Центра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12.01.2009–23.12.2009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Главы города об установке мемориальных досок Макееву В. П., Лощину В. И.,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 Ф.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 распорядителя,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гл. распорядителя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1–47 директора Центра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6635, 8193 Главы города об установке мемориальных досок Благих В. Т.,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 за август–ноябрь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20.08.2010–12.11.2010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 распорядителя,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гл. распорядителя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1–89 директора Центра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66481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1062–7487 Главы города об установке мемориальных досок Малютину И. П., Покровскому В. К., Юсупову Х. М.,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Тихоплав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Т. Ф., Романову В. Е., Мартынову Ф. К.,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А., Иванову К. В.,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Гофрату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Я., Кондратенко В. П. за 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 распорядителя,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гл. распорядителя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1–24 директора Центра по основной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4053, 4132, 4131, 5038 Главы города об установке мемориальных досок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Амбаровой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Ю., Каминскому М. Б., Середкину В. П. за 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02.08.2012–14.09.2012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финансовых результатах деятельности, баланс гл.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рапорядителя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главного распорядителя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1–43 директора Центра по 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города Челябинска, относящиеся к деятельности Центра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результатах, отчет об исполнении плана финансово-хозяйственной деятельности (субсидия на выполнение государственного (муниципального) задания), отчет об исполнении плана финансово-хозяйственной деятельности (приносящая доход деятельность), отчет об исполнении плана финансово-хозяйственной деятельности (субсидия на иные цели)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города Челябинска, относящиеся к деятельности Центра за январь–октябрь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24.01.2014–24.10.2014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1–30/1 директора Центра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Центра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финансово-хозяйственной деятельности Центра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города Челябинска, относящиеся к деятельности Центра за апрель–декабрь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02.04.2015–11.12.2015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 директора Центра по основной деятельности за 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02.02.2015–23.12.2015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приказы № 2, 3, 6, 9, 54</w:t>
            </w: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и изменения к нему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Центра на 2015 год и 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и изменения к нему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отчет об исполнении плана финансово-хозяйственной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 Центра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Главы Администрации города Челябинска, 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ервого заместителя Главы, относящиеся к деятельности Центра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1–57 директора Центра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66481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 приказ № 1</w:t>
            </w: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и изменения к нему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Центра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Центра и изменения к нему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отчет об исполнении плана финансово-хозяйственной деятельности Центра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 Центра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B02250" w:rsidRDefault="00B02250" w:rsidP="00197167">
            <w:pPr>
              <w:keepNext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keepNext/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keepNext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keepNext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95156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№ 1–37/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95156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E95156">
              <w:rPr>
                <w:rFonts w:ascii="Times New Roman" w:hAnsi="Times New Roman"/>
                <w:sz w:val="24"/>
                <w:szCs w:val="24"/>
              </w:rPr>
              <w:t xml:space="preserve"> по основной деятельности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761D27">
              <w:rPr>
                <w:rFonts w:ascii="Times New Roman" w:hAnsi="Times New Roman"/>
                <w:sz w:val="24"/>
                <w:szCs w:val="24"/>
              </w:rPr>
              <w:t>7</w:t>
            </w:r>
            <w:r w:rsidRPr="00E951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95156" w:rsidRDefault="00DE1F98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24.01.2017–</w:t>
            </w:r>
            <w:r w:rsidR="00B02250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761D27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B2096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096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EB2096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23672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7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F06124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503623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23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503623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503623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2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B2096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096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EB2096">
              <w:rPr>
                <w:rFonts w:ascii="Times New Roman" w:hAnsi="Times New Roman"/>
                <w:sz w:val="24"/>
                <w:szCs w:val="24"/>
              </w:rPr>
              <w:t xml:space="preserve"> и изменения к нему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23672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014A0F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B15757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757">
              <w:rPr>
                <w:rFonts w:ascii="Times New Roman" w:hAnsi="Times New Roman"/>
                <w:sz w:val="24"/>
                <w:szCs w:val="24"/>
              </w:rPr>
              <w:t xml:space="preserve">Отчет о выполнении муниципального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B15757">
              <w:rPr>
                <w:rFonts w:ascii="Times New Roman" w:hAnsi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B15757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5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6F5FDD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3D6A">
              <w:rPr>
                <w:rFonts w:ascii="Times New Roman" w:hAnsi="Times New Roman"/>
                <w:sz w:val="24"/>
                <w:szCs w:val="24"/>
              </w:rPr>
              <w:t>Документы (экспозиционные планы выставок, этикетаж, отзывы, приглашения, афи</w:t>
            </w:r>
            <w:r w:rsidR="00DE1F98">
              <w:rPr>
                <w:rFonts w:ascii="Times New Roman" w:hAnsi="Times New Roman"/>
                <w:sz w:val="24"/>
                <w:szCs w:val="24"/>
              </w:rPr>
              <w:t>ши) по </w:t>
            </w:r>
            <w:r w:rsidRPr="00253D6A">
              <w:rPr>
                <w:rFonts w:ascii="Times New Roman" w:hAnsi="Times New Roman"/>
                <w:sz w:val="24"/>
                <w:szCs w:val="24"/>
              </w:rPr>
              <w:t>организации выставочной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AB7E8E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FD5A09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A09">
              <w:rPr>
                <w:rFonts w:ascii="Times New Roman" w:hAnsi="Times New Roman"/>
                <w:sz w:val="24"/>
                <w:szCs w:val="24"/>
              </w:rPr>
              <w:t>Документы (распоряжения, протоколы, переписка)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установке мемориальных досок в </w:t>
            </w:r>
            <w:r w:rsidRPr="00FD5A09">
              <w:rPr>
                <w:rFonts w:ascii="Times New Roman" w:hAnsi="Times New Roman"/>
                <w:sz w:val="24"/>
                <w:szCs w:val="24"/>
              </w:rPr>
              <w:t>городе Челябинске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FD5A09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A0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Списки ме</w:t>
            </w:r>
            <w:r w:rsidR="00DE1F98">
              <w:rPr>
                <w:rFonts w:ascii="Times New Roman" w:hAnsi="Times New Roman"/>
                <w:spacing w:val="-2"/>
                <w:sz w:val="24"/>
                <w:szCs w:val="24"/>
              </w:rPr>
              <w:t>мориальных досок, находящихся в </w:t>
            </w: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опер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ативном управлении Центра </w:t>
            </w: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Списки памятников объектов культурного наследия, находящихся в оперативном управлении</w:t>
            </w:r>
            <w:r w:rsidRPr="00253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Центра </w:t>
            </w:r>
            <w:r w:rsidRPr="00253D6A">
              <w:rPr>
                <w:rFonts w:ascii="Times New Roman" w:hAnsi="Times New Roman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финансово-хозяйственной деятельности Центра и изменения к нему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финансовых результатах деятельности, отчет об исполнении плана финансово-хозяйственной деятельности Центра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BB">
              <w:rPr>
                <w:rFonts w:ascii="Times New Roman" w:hAnsi="Times New Roman"/>
                <w:sz w:val="24"/>
                <w:szCs w:val="24"/>
              </w:rPr>
              <w:t xml:space="preserve">Годовой бухгалтерский отчет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Центра </w:t>
            </w: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Pr="00C46BBB">
              <w:rPr>
                <w:rFonts w:ascii="Times New Roman" w:hAnsi="Times New Roman"/>
                <w:sz w:val="24"/>
                <w:szCs w:val="24"/>
              </w:rPr>
              <w:t>пояснительная записка к нему</w:t>
            </w:r>
            <w:r w:rsidR="00DE1F98">
              <w:rPr>
                <w:rFonts w:ascii="Times New Roman" w:hAnsi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B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0B0131" w:rsidRDefault="00B02250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по начисленным и уплаченным страховым взносам </w:t>
            </w:r>
            <w:r w:rsidR="00DE1F98" w:rsidRPr="00DE1F98">
              <w:rPr>
                <w:rFonts w:ascii="Times New Roman" w:hAnsi="Times New Roman"/>
                <w:sz w:val="24"/>
                <w:szCs w:val="24"/>
              </w:rPr>
              <w:t xml:space="preserve">(ф.4 ФСС) </w:t>
            </w:r>
            <w:r>
              <w:rPr>
                <w:rFonts w:ascii="Times New Roman" w:hAnsi="Times New Roman"/>
                <w:sz w:val="24"/>
                <w:szCs w:val="24"/>
              </w:rPr>
              <w:t>в Фонд с</w:t>
            </w:r>
            <w:r w:rsidR="00DE1F98">
              <w:rPr>
                <w:rFonts w:ascii="Times New Roman" w:hAnsi="Times New Roman"/>
                <w:sz w:val="24"/>
                <w:szCs w:val="24"/>
              </w:rPr>
              <w:t>оциального страхования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846EE2" w:rsidTr="00C425A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C425A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B02250" w:rsidRDefault="00261F82" w:rsidP="00197167">
            <w:pPr>
              <w:keepNext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197167">
            <w:pPr>
              <w:keepNext/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197167">
            <w:pPr>
              <w:keepNext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197167">
            <w:pPr>
              <w:keepNext/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Приказы № 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17.01.2018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1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приказы № 2, 3</w:t>
            </w: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1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 и изменения к нему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 xml:space="preserve">Отчет о выполнении муниципального задания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Документы (экспозиционные планы выставок, этикетаж,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отзывы, приглашения, афиши) по 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выставочной деятельности за 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82">
              <w:rPr>
                <w:rFonts w:ascii="Times New Roman" w:hAnsi="Times New Roman"/>
                <w:sz w:val="24"/>
                <w:szCs w:val="24"/>
              </w:rPr>
              <w:t>1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финансово-хозяйственной деятельности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>, изменения к нему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бухгалтерский отчет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 пояснительная записка к нему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pStyle w:val="a6"/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A21183" w:rsidRDefault="00197167" w:rsidP="00197167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Default="00197167" w:rsidP="00197167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1–20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10.01.2019–26.12.2019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План работы Центра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Центра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Дипломы, почетные грамоты,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 за 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сохранению исторических и культурных ценностей</w:t>
            </w: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 xml:space="preserve"> за 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Документы (экспозиционные планы выставок, этикетаж, отзывы, приглашения, афиши) по организации выставочной деятельности Центра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Центра, изменения к нему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167" w:rsidRPr="005442FB" w:rsidTr="0019716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Годовой бухгалтерский отчет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 нему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197167" w:rsidRDefault="00197167" w:rsidP="00197167">
            <w:pPr>
              <w:spacing w:before="160" w:after="1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71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167" w:rsidRPr="00261F82" w:rsidRDefault="00197167" w:rsidP="00197167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7C81" w:rsidRDefault="00C97C81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D2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5E7626" w:rsidRPr="00C97C81" w:rsidTr="00D20A9C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626" w:rsidRPr="00D20A9C" w:rsidRDefault="00D20A9C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716EC5" w:rsidRP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EC5" w:rsidRPr="00D20A9C" w:rsidRDefault="005E7626" w:rsidP="00D20A9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C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716EC5" w:rsidRPr="00D20A9C">
              <w:rPr>
                <w:rFonts w:ascii="Times New Roman" w:hAnsi="Times New Roman" w:cs="Times New Roman"/>
                <w:sz w:val="24"/>
                <w:szCs w:val="24"/>
              </w:rPr>
              <w:t>Центр историко-культурного наследия г. Челябинска (19.04.1993–22.04.1996), Муниципальное учреждение «Центр историко-культурного наследия г. Челябинска» (22.04.1996–15.12.2011), МБУК «Центр историко-культурного наследия г. Челябинска» (МБУК ЦИКНЧ)</w:t>
            </w:r>
            <w:r w:rsidR="00D20A9C" w:rsidRPr="00D20A9C">
              <w:rPr>
                <w:rFonts w:ascii="Times New Roman" w:hAnsi="Times New Roman" w:cs="Times New Roman"/>
                <w:sz w:val="24"/>
                <w:szCs w:val="24"/>
              </w:rPr>
              <w:t xml:space="preserve"> (с 15.12.2011)</w:t>
            </w:r>
            <w:r w:rsidR="00716EC5" w:rsidRPr="00D2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5E7626" w:rsidP="00261F82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716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0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261F82"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</w:t>
            </w:r>
            <w:r w:rsidR="0019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девять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2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197167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716EC5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7а, 31а, 106а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716EC5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106а, 115, 117, 123, 136, 137</w:t>
            </w: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E2" w:rsidRPr="00476E54" w:rsidRDefault="00846EE2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46EE2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E06BB"/>
    <w:multiLevelType w:val="hybridMultilevel"/>
    <w:tmpl w:val="687A9DF8"/>
    <w:lvl w:ilvl="0" w:tplc="9C48E04C">
      <w:start w:val="16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133D99"/>
    <w:rsid w:val="00197167"/>
    <w:rsid w:val="001D785D"/>
    <w:rsid w:val="001E62CA"/>
    <w:rsid w:val="00261F82"/>
    <w:rsid w:val="002A1565"/>
    <w:rsid w:val="0039320C"/>
    <w:rsid w:val="003D1E88"/>
    <w:rsid w:val="003D2E74"/>
    <w:rsid w:val="00401B5A"/>
    <w:rsid w:val="004079E7"/>
    <w:rsid w:val="00476E54"/>
    <w:rsid w:val="004C74BE"/>
    <w:rsid w:val="005442FB"/>
    <w:rsid w:val="005E7626"/>
    <w:rsid w:val="00664819"/>
    <w:rsid w:val="006A3352"/>
    <w:rsid w:val="00711CB8"/>
    <w:rsid w:val="00716EC5"/>
    <w:rsid w:val="007C70D4"/>
    <w:rsid w:val="007E1D16"/>
    <w:rsid w:val="007E1E55"/>
    <w:rsid w:val="007E4463"/>
    <w:rsid w:val="008075BD"/>
    <w:rsid w:val="008249C3"/>
    <w:rsid w:val="00846EE2"/>
    <w:rsid w:val="0086330C"/>
    <w:rsid w:val="00880290"/>
    <w:rsid w:val="0088117B"/>
    <w:rsid w:val="008B234F"/>
    <w:rsid w:val="009461B0"/>
    <w:rsid w:val="00947C1A"/>
    <w:rsid w:val="00A07245"/>
    <w:rsid w:val="00B02250"/>
    <w:rsid w:val="00B02D1A"/>
    <w:rsid w:val="00B31B21"/>
    <w:rsid w:val="00B31F94"/>
    <w:rsid w:val="00B87D44"/>
    <w:rsid w:val="00C4798E"/>
    <w:rsid w:val="00C5788F"/>
    <w:rsid w:val="00C97C81"/>
    <w:rsid w:val="00CE63A9"/>
    <w:rsid w:val="00D20A9C"/>
    <w:rsid w:val="00D2635B"/>
    <w:rsid w:val="00D55DC6"/>
    <w:rsid w:val="00DE1F98"/>
    <w:rsid w:val="00E3447E"/>
    <w:rsid w:val="00E67D74"/>
    <w:rsid w:val="00E70EDA"/>
    <w:rsid w:val="00EA4AA5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A9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A9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A9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A9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18</cp:revision>
  <cp:lastPrinted>2023-06-21T03:36:00Z</cp:lastPrinted>
  <dcterms:created xsi:type="dcterms:W3CDTF">2022-10-21T05:00:00Z</dcterms:created>
  <dcterms:modified xsi:type="dcterms:W3CDTF">2025-06-05T05:57:00Z</dcterms:modified>
</cp:coreProperties>
</file>