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муниципальное унитарное предприятие по эксплуатации и ремонту жилищного фонда центрального района г. челябинска</w:t>
      </w:r>
    </w:p>
    <w:p w:rsidR="003414C0" w:rsidRPr="00834C90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(муп </w:t>
      </w:r>
      <w:r w:rsidR="007F37E2">
        <w:rPr>
          <w:caps/>
          <w:color w:val="auto"/>
          <w:sz w:val="26"/>
          <w:szCs w:val="26"/>
        </w:rPr>
        <w:t>«</w:t>
      </w:r>
      <w:r>
        <w:rPr>
          <w:caps/>
          <w:color w:val="auto"/>
          <w:sz w:val="26"/>
          <w:szCs w:val="26"/>
        </w:rPr>
        <w:t>пжрэу центрального района</w:t>
      </w:r>
      <w:r w:rsidR="007F37E2">
        <w:rPr>
          <w:caps/>
          <w:color w:val="auto"/>
          <w:sz w:val="26"/>
          <w:szCs w:val="26"/>
        </w:rPr>
        <w:t>»</w:t>
      </w:r>
      <w:r>
        <w:rPr>
          <w:caps/>
          <w:color w:val="auto"/>
          <w:sz w:val="26"/>
          <w:szCs w:val="26"/>
        </w:rPr>
        <w:t>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3414C0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3414C0">
        <w:rPr>
          <w:b w:val="0"/>
          <w:caps/>
          <w:color w:val="auto"/>
          <w:sz w:val="26"/>
          <w:szCs w:val="26"/>
        </w:rPr>
        <w:t>[</w:t>
      </w:r>
      <w:r>
        <w:rPr>
          <w:b w:val="0"/>
          <w:caps/>
          <w:color w:val="auto"/>
          <w:sz w:val="26"/>
          <w:szCs w:val="26"/>
        </w:rPr>
        <w:t>1960</w:t>
      </w:r>
      <w:r w:rsidRPr="003414C0">
        <w:rPr>
          <w:b w:val="0"/>
          <w:caps/>
          <w:color w:val="auto"/>
          <w:sz w:val="26"/>
          <w:szCs w:val="26"/>
        </w:rPr>
        <w:t>]</w:t>
      </w:r>
      <w:r>
        <w:rPr>
          <w:b w:val="0"/>
          <w:caps/>
          <w:color w:val="auto"/>
          <w:sz w:val="26"/>
          <w:szCs w:val="26"/>
        </w:rPr>
        <w:t xml:space="preserve"> – 01.02.2010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3414C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414C0">
        <w:rPr>
          <w:rFonts w:ascii="Times New Roman" w:hAnsi="Times New Roman" w:cs="Times New Roman"/>
          <w:b/>
          <w:sz w:val="26"/>
          <w:szCs w:val="26"/>
        </w:rPr>
        <w:t>106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BF4854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47370B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</w:p>
    <w:p w:rsidR="001D3DFC" w:rsidRPr="00E3192D" w:rsidRDefault="003414C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7F37E2">
        <w:rPr>
          <w:rFonts w:ascii="Times New Roman" w:hAnsi="Times New Roman" w:cs="Times New Roman"/>
          <w:b/>
          <w:sz w:val="26"/>
          <w:szCs w:val="26"/>
        </w:rPr>
        <w:t>документы по заработной плате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F4854">
        <w:rPr>
          <w:rFonts w:ascii="Times New Roman" w:hAnsi="Times New Roman" w:cs="Times New Roman"/>
          <w:b/>
          <w:sz w:val="26"/>
          <w:szCs w:val="26"/>
        </w:rPr>
        <w:t>1960–200</w:t>
      </w:r>
      <w:r w:rsidR="007F37E2">
        <w:rPr>
          <w:rFonts w:ascii="Times New Roman" w:hAnsi="Times New Roman" w:cs="Times New Roman"/>
          <w:b/>
          <w:sz w:val="26"/>
          <w:szCs w:val="26"/>
        </w:rPr>
        <w:t>4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7F37E2" w:rsidRDefault="007F37E2" w:rsidP="007F37E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Жилищное управление Центрального </w:t>
      </w:r>
      <w:proofErr w:type="gramStart"/>
      <w:r w:rsidRPr="003414C0">
        <w:rPr>
          <w:rFonts w:ascii="Times New Roman" w:hAnsi="Times New Roman" w:cs="Times New Roman"/>
          <w:sz w:val="26"/>
          <w:szCs w:val="26"/>
        </w:rPr>
        <w:t xml:space="preserve">района Жилищного управления </w:t>
      </w:r>
      <w:r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</w:t>
      </w:r>
      <w:proofErr w:type="gramEnd"/>
      <w:r w:rsidRPr="009C3C68">
        <w:rPr>
          <w:rFonts w:ascii="Times New Roman" w:hAnsi="Times New Roman" w:cs="Times New Roman"/>
          <w:sz w:val="26"/>
          <w:szCs w:val="26"/>
        </w:rPr>
        <w:t xml:space="preserve"> трудящихся</w:t>
      </w:r>
      <w:r w:rsidRPr="003414C0">
        <w:rPr>
          <w:rFonts w:ascii="Times New Roman" w:hAnsi="Times New Roman" w:cs="Times New Roman"/>
          <w:sz w:val="26"/>
          <w:szCs w:val="26"/>
        </w:rPr>
        <w:t xml:space="preserve"> (Центральное РЖУ ГЖУ) ([1960] – 18.04.1977)</w:t>
      </w:r>
    </w:p>
    <w:p w:rsidR="007F37E2" w:rsidRDefault="007F37E2" w:rsidP="007F37E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Жилищный производственно-эксплуатационный трест Центрального </w:t>
      </w:r>
      <w:proofErr w:type="gramStart"/>
      <w:r w:rsidRPr="003414C0">
        <w:rPr>
          <w:rFonts w:ascii="Times New Roman" w:hAnsi="Times New Roman" w:cs="Times New Roman"/>
          <w:sz w:val="26"/>
          <w:szCs w:val="26"/>
        </w:rPr>
        <w:t xml:space="preserve">района Жилищного управления </w:t>
      </w:r>
      <w:r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</w:t>
      </w:r>
      <w:proofErr w:type="gramEnd"/>
      <w:r w:rsidRPr="009C3C68">
        <w:rPr>
          <w:rFonts w:ascii="Times New Roman" w:hAnsi="Times New Roman" w:cs="Times New Roman"/>
          <w:sz w:val="26"/>
          <w:szCs w:val="26"/>
        </w:rPr>
        <w:t xml:space="preserve"> трудящихся, с 07.10.1977–Челябинского городского Совета народных депутатов</w:t>
      </w:r>
      <w:r w:rsidRPr="003414C0">
        <w:rPr>
          <w:rFonts w:ascii="Times New Roman" w:hAnsi="Times New Roman" w:cs="Times New Roman"/>
          <w:sz w:val="26"/>
          <w:szCs w:val="26"/>
        </w:rPr>
        <w:t xml:space="preserve"> (ЖПЭТ Центрального района ГЖУ) (19.04.1977–31.08.1983)</w:t>
      </w:r>
    </w:p>
    <w:p w:rsidR="007F37E2" w:rsidRDefault="007F37E2" w:rsidP="007F37E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Производственный трест жилищного </w:t>
      </w:r>
      <w:proofErr w:type="gramStart"/>
      <w:r w:rsidRPr="003414C0">
        <w:rPr>
          <w:rFonts w:ascii="Times New Roman" w:hAnsi="Times New Roman" w:cs="Times New Roman"/>
          <w:sz w:val="26"/>
          <w:szCs w:val="26"/>
        </w:rPr>
        <w:t xml:space="preserve">хозяйства Центрального района Производственного управления жилищного хозяйства </w:t>
      </w:r>
      <w:r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народных</w:t>
      </w:r>
      <w:proofErr w:type="gramEnd"/>
      <w:r w:rsidRPr="009C3C6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3414C0">
        <w:rPr>
          <w:rFonts w:ascii="Times New Roman" w:hAnsi="Times New Roman" w:cs="Times New Roman"/>
          <w:sz w:val="26"/>
          <w:szCs w:val="26"/>
        </w:rPr>
        <w:t xml:space="preserve"> (ПТЖХ Центрального района ПУЖХ </w:t>
      </w:r>
      <w:r>
        <w:rPr>
          <w:rFonts w:ascii="Times New Roman" w:hAnsi="Times New Roman" w:cs="Times New Roman"/>
          <w:sz w:val="26"/>
          <w:szCs w:val="26"/>
        </w:rPr>
        <w:t>Челябинского горисполкома</w:t>
      </w:r>
      <w:r w:rsidRPr="003414C0">
        <w:rPr>
          <w:rFonts w:ascii="Times New Roman" w:hAnsi="Times New Roman" w:cs="Times New Roman"/>
          <w:sz w:val="26"/>
          <w:szCs w:val="26"/>
        </w:rPr>
        <w:t>) (01.09.1983–30.08.1990)</w:t>
      </w:r>
    </w:p>
    <w:p w:rsidR="007F37E2" w:rsidRDefault="007F37E2" w:rsidP="007F37E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>Производственное жилищное ре</w:t>
      </w:r>
      <w:bookmarkStart w:id="0" w:name="_GoBack"/>
      <w:bookmarkEnd w:id="0"/>
      <w:r w:rsidRPr="003414C0">
        <w:rPr>
          <w:rFonts w:ascii="Times New Roman" w:hAnsi="Times New Roman" w:cs="Times New Roman"/>
          <w:sz w:val="26"/>
          <w:szCs w:val="26"/>
        </w:rPr>
        <w:t xml:space="preserve">монтно-эксплуатационное управление Центрального района г. Челябинска Производственного жилищного ремонтно-эксплуатационного объединения </w:t>
      </w:r>
      <w:r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народных депутатов, с 05.12.1991 – Администрации города Челябинска</w:t>
      </w:r>
      <w:r w:rsidRPr="003414C0">
        <w:rPr>
          <w:rFonts w:ascii="Times New Roman" w:hAnsi="Times New Roman" w:cs="Times New Roman"/>
          <w:sz w:val="26"/>
          <w:szCs w:val="26"/>
        </w:rPr>
        <w:t xml:space="preserve"> (ПЖРЭУ Центрального района ПЖРЭО г. Челябинска) (30.08.1990–15.08.1995)</w:t>
      </w:r>
    </w:p>
    <w:p w:rsidR="007F37E2" w:rsidRPr="003414C0" w:rsidRDefault="007F37E2" w:rsidP="007F37E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униципальное унитарное предприятие</w:t>
      </w:r>
      <w:r w:rsidRPr="003414C0">
        <w:rPr>
          <w:rFonts w:ascii="Times New Roman" w:hAnsi="Times New Roman" w:cs="Times New Roman"/>
          <w:sz w:val="26"/>
          <w:szCs w:val="26"/>
        </w:rPr>
        <w:t xml:space="preserve"> по эксплуатации и ремонту жилищного фонда Центрального района г. Челябинска (МУП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14C0">
        <w:rPr>
          <w:rFonts w:ascii="Times New Roman" w:hAnsi="Times New Roman" w:cs="Times New Roman"/>
          <w:sz w:val="26"/>
          <w:szCs w:val="26"/>
        </w:rPr>
        <w:t>ПЖРЭУ Центрального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414C0">
        <w:rPr>
          <w:rFonts w:ascii="Times New Roman" w:hAnsi="Times New Roman" w:cs="Times New Roman"/>
          <w:sz w:val="26"/>
          <w:szCs w:val="26"/>
        </w:rPr>
        <w:t>) (15.08.1995–01.02.2010)</w:t>
      </w:r>
    </w:p>
    <w:p w:rsidR="003414C0" w:rsidRP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257"/>
        <w:gridCol w:w="1276"/>
        <w:gridCol w:w="850"/>
        <w:gridCol w:w="1616"/>
      </w:tblGrid>
      <w:tr w:rsidR="005442FB" w:rsidRPr="005442FB" w:rsidTr="007F37E2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4"/>
        <w:gridCol w:w="5263"/>
        <w:gridCol w:w="1276"/>
        <w:gridCol w:w="850"/>
        <w:gridCol w:w="1616"/>
      </w:tblGrid>
      <w:tr w:rsidR="005442FB" w:rsidRPr="005442FB" w:rsidTr="007F37E2">
        <w:trPr>
          <w:cantSplit/>
          <w:trHeight w:val="20"/>
          <w:tblHeader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F37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E3192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BF4854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E3192D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1963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7F37E2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BF4854">
              <w:rPr>
                <w:rFonts w:ascii="Times New Roman" w:hAnsi="Times New Roman" w:cs="Times New Roman"/>
                <w:sz w:val="24"/>
                <w:szCs w:val="24"/>
              </w:rPr>
              <w:t>1960–06.1963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54"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7F37E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54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7F37E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7F37E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7F37E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июль 1963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1965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07.1963–1965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1964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1963–06.1964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июль 1964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сентябрь 1965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07.1964–09.1965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октябрь 1965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10.1965–1966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февраль 1965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01.1965–02.1965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1965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03.1965–12.1965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1966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июль–декабрь 1966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07.1966–12.1966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1966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07.1966–12.1966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март 1967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01.1967–03.1967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1967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04.1967–12.1967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1967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октябрь 1967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июль 1969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10.1967–07.1969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1967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01.1967–06.1967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1967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07.1967–12.1967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1967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01.1967–06.1967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1967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07.1967–12.1967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октябрь 1968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01.1968–10.1968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1968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11.1968–12.1968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, обслуживающе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текущего ремонта домоуправления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обслуживающе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 xml:space="preserve"> домоуправления №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1968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1968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01.1968–06.1968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июль–декабрь 1968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07.1968–12.1968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январь–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1968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01.1968–06.1968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1968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07.1968–12.1968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1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сентябрь 1969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май 1970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09.1969–05.1970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, обслуживающе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текущего ремонта домоуправления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 xml:space="preserve"> домоуправления №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 РЖУ Центрального района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08.1969–12.1969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январь–июнь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01.1969–06.1969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07.1969–12.1969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01.1969–06.1969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домоуправления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07.1969–12.1969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7355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355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7355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июль 1970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06.1970–07.1970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1970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08.1970–12.1970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ремонта 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1970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младше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1970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01.1970–06.1970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1970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07.1970–12.1970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ЖЭК №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(участки № 1, 2, 3)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1971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участка №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4, лифтового хозяйства, текущего ремонта, автотранспортного участка, работников по совместительству 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1971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ремонта,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участка, обслуживающе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обслуживающе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1971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04.1971–12.1971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июль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01.1971–07.1971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1971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08.1971–12.1971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ЖЭК №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01.1971–06.1971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07.1971–12.1971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инженерно-техническ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,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,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ремонта,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лифтового хозяйства 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01.1972–06.1972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(участки № 1, 2, 3, 4)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январь–июнь 1972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01.1972–06.1972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апрель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01.1972–04.1972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обслуживающе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апрель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01.1972–04.1972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ремонта,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апрель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01.1972–04.1972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05.1972–06.1972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октябрь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09.1972–10.1972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совместительству 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1972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август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01.1972–08.1972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октябрь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09.1972–10.1972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июнь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01.1972–06.1972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1972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07.1972–12.1972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ЖЭК №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июль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01.1972–07.1972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декабрь 1972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08.1972–12.1972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67а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РЖУ за 1973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67б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ЖЭК № 2 Центрального РЖУ за 1973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7F37E2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7355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7355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73554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67в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РЖУ за 1974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Л–Ш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35547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М–Ю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К»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="00735547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К»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735547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35547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35547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П»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35547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3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К»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735547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6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>К»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ЖЭК № 14 Центрального РЖУ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735547">
              <w:rPr>
                <w:rFonts w:ascii="Times New Roman" w:hAnsi="Times New Roman" w:cs="Times New Roman"/>
                <w:sz w:val="24"/>
                <w:szCs w:val="24"/>
              </w:rPr>
              <w:t xml:space="preserve">ЖПЭТ Центрального района за 1977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Щ»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7F37E2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101а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ЖПЭТ Центрального района на 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101б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ЖПЭТ Центрального района на буквы «В–Г»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101в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ЖПЭТ Центрального района на 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101г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ЖПЭТ Центрального района на букву «К»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101д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ЖПЭТ Центрального района на буквы «Л–Н»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101е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ЖПЭТ Центрального района на 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101ж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ЖПЭТ Центрального района на 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101з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ЖПЭТ Центрального района на 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547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735547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47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24785E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547" w:rsidRPr="00BF4854" w:rsidRDefault="00735547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C2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D72EC2" w:rsidRDefault="00D72EC2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C2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BF4854" w:rsidRDefault="00D72EC2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C2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D72EC2" w:rsidRDefault="00D72EC2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C2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BF4854" w:rsidRDefault="00D72EC2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3554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C2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7F37E2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D72EC2" w:rsidRDefault="00D72EC2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C2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BF4854" w:rsidRDefault="00D72EC2" w:rsidP="007F37E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Карпунин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А. А. (л. 119)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Карпунин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А. А. см. д. 154, л. 119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Включена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Хамидулина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В. В (л. 65)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Хамидулина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В. В. см. д. 166, л. 65</w:t>
            </w:r>
          </w:p>
        </w:tc>
      </w:tr>
      <w:tr w:rsidR="00D72EC2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D72EC2" w:rsidRDefault="00D72EC2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C2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BF4854" w:rsidRDefault="00D72EC2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Включена Замятина Л. Н. (л. 95)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Замятина Л. Н. см. д. 169, л. 95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Включена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Мокина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Н. И. (л. 89)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Мокина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Н. И. см. д. 180, л. 89</w:t>
            </w:r>
          </w:p>
        </w:tc>
      </w:tr>
      <w:tr w:rsidR="00D72EC2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D72EC2" w:rsidRDefault="00D72EC2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C2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BF4854" w:rsidRDefault="00D72EC2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 Стрелков А. И. (л. 65)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Стрелков А. И. см. д. 182, л. 65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Кононыхин С. С. д. 187, л. 4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 Кононыхин С. С. (л. 4)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7F37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Включены</w:t>
            </w:r>
            <w:proofErr w:type="gram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 Наговицына Е. Г.</w:t>
            </w:r>
            <w:r w:rsidR="007F37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(л. </w:t>
            </w:r>
            <w:r w:rsidR="007F37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20)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Помазная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И. Б. (л. 66)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Наговицына Е. Г. см. д. 190, л. 120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Помазная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И. Б. см. д. 190, л. 66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Включена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Лаукерт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Г. В. (л. 61)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Щ»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Лаукерт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Г. В. см. д. 192, л. 61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2EC2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D72EC2" w:rsidRDefault="00D72EC2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C2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24785E" w:rsidRDefault="00D72EC2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C2" w:rsidRPr="00BF4854" w:rsidRDefault="00D72EC2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 Конев Б. А. (л. 48)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Конев Б. А. см. д. 198, л. 48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Включена Еремина Г. И. (л. 52)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Еремина Г. И. см. д. 204, л. 52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Кондратьева З. К. см. д. 207, л. 29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Включена Кондратьева З. К. (л. 29)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Подоров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В. Н. см. д. 215, л. 3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Подоров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В. Н. (л. 3)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Одинцов В. Е. см. д. 218, л. 2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Щ»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 Одинцов В. Е. (л. 2)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 Орлов В. А. (л. 54)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Орлов В. А см. д. 220, л. 54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161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4A3161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BF4854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D72EC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Щ»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161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4A3161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BF4854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Включены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Печёнкин Ю. В. (л </w:t>
            </w:r>
            <w:r w:rsidR="00BF4854" w:rsidRPr="00BF4854">
              <w:rPr>
                <w:rFonts w:ascii="Times New Roman" w:hAnsi="Times New Roman" w:cs="Times New Roman"/>
                <w:sz w:val="16"/>
                <w:szCs w:val="16"/>
              </w:rPr>
              <w:t>59), Плохих Н. В. (л.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54),</w:t>
            </w:r>
            <w:r w:rsidR="00BF4854"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F4854" w:rsidRPr="00BF4854">
              <w:rPr>
                <w:rFonts w:ascii="Times New Roman" w:hAnsi="Times New Roman" w:cs="Times New Roman"/>
                <w:sz w:val="16"/>
                <w:szCs w:val="16"/>
              </w:rPr>
              <w:t>Поздняк</w:t>
            </w:r>
            <w:proofErr w:type="spellEnd"/>
            <w:r w:rsidR="00BF4854" w:rsidRPr="00BF4854">
              <w:rPr>
                <w:rFonts w:ascii="Times New Roman" w:hAnsi="Times New Roman" w:cs="Times New Roman"/>
                <w:sz w:val="16"/>
                <w:szCs w:val="16"/>
              </w:rPr>
              <w:t> А. 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854"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(л. 55), </w:t>
            </w:r>
            <w:proofErr w:type="spellStart"/>
            <w:r w:rsidR="00BF4854" w:rsidRPr="00BF4854">
              <w:rPr>
                <w:rFonts w:ascii="Times New Roman" w:hAnsi="Times New Roman" w:cs="Times New Roman"/>
                <w:sz w:val="16"/>
                <w:szCs w:val="16"/>
              </w:rPr>
              <w:t>Пончук</w:t>
            </w:r>
            <w:proofErr w:type="spellEnd"/>
            <w:r w:rsidR="00BF4854"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 Т. А. (л. 53), Попкова А. Н. (л. 56), </w:t>
            </w:r>
            <w:proofErr w:type="spellStart"/>
            <w:r w:rsidR="00BF4854" w:rsidRPr="00BF4854">
              <w:rPr>
                <w:rFonts w:ascii="Times New Roman" w:hAnsi="Times New Roman" w:cs="Times New Roman"/>
                <w:sz w:val="16"/>
                <w:szCs w:val="16"/>
              </w:rPr>
              <w:t>Притчина</w:t>
            </w:r>
            <w:proofErr w:type="spellEnd"/>
            <w:r w:rsidR="00BF4854" w:rsidRPr="00BF4854">
              <w:rPr>
                <w:rFonts w:ascii="Times New Roman" w:hAnsi="Times New Roman" w:cs="Times New Roman"/>
                <w:sz w:val="16"/>
                <w:szCs w:val="16"/>
              </w:rPr>
              <w:t> В. 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854" w:rsidRPr="00BF4854">
              <w:rPr>
                <w:rFonts w:ascii="Times New Roman" w:hAnsi="Times New Roman" w:cs="Times New Roman"/>
                <w:sz w:val="16"/>
                <w:szCs w:val="16"/>
              </w:rPr>
              <w:t>(л. 57), Пушкарев Г. А. (л. 58)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Печёнкин Ю. В., </w:t>
            </w:r>
            <w:proofErr w:type="gram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Плохих</w:t>
            </w:r>
            <w:proofErr w:type="gram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 Н. В.,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Поздняк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 А. А.,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Пончук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 Т. А., Попкова А. Н.,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Притчина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В. М., Пушкарев Г. А. см. д. 241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Щ»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161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4A3161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BF4854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Сайфелов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Р. М. см. д. 277, л. 25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Сайфелов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Р. М.</w:t>
            </w:r>
            <w:r w:rsidR="004A31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(л. 25)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Включена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Шимолина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В. А. (л. 8)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Лапутина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Э. А. см. д. 282, л. 3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7F37E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Включена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Лапутина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Э. А. (л. 3), Пирогова М. А. см. д. 283, л. 18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Включена Пирогова М. А (л. 18)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Шимолина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В. А. см. д. 279, л. 8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Фицнер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П. Ф. (л. 18)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Килина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М. А. см. д. 288, л. 7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Лекарев</w:t>
            </w:r>
            <w:r w:rsidR="004A31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Лепарев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) С. И. см. д. 288, л. 14,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Лямин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М. Д. см. д. 289, л. 8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</w:t>
            </w:r>
            <w:r w:rsidR="004A3161">
              <w:rPr>
                <w:rFonts w:ascii="Times New Roman" w:hAnsi="Times New Roman" w:cs="Times New Roman"/>
                <w:sz w:val="16"/>
                <w:szCs w:val="16"/>
              </w:rPr>
              <w:t xml:space="preserve">ны </w:t>
            </w:r>
            <w:proofErr w:type="spellStart"/>
            <w:r w:rsidR="004A3161">
              <w:rPr>
                <w:rFonts w:ascii="Times New Roman" w:hAnsi="Times New Roman" w:cs="Times New Roman"/>
                <w:sz w:val="16"/>
                <w:szCs w:val="16"/>
              </w:rPr>
              <w:t>Килина</w:t>
            </w:r>
            <w:proofErr w:type="spellEnd"/>
            <w:r w:rsidR="004A3161">
              <w:rPr>
                <w:rFonts w:ascii="Times New Roman" w:hAnsi="Times New Roman" w:cs="Times New Roman"/>
                <w:sz w:val="16"/>
                <w:szCs w:val="16"/>
              </w:rPr>
              <w:t xml:space="preserve"> М. А. (л. 7), Лекарев </w:t>
            </w: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Лепарев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) С. И. (л. 14),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Портная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С. Я. см. д. 289, л. 19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Лямин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 М. Д. (л. 8),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Портная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С. Я. (л. 19)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Щ»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Фицнер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П. Ф. см. д. 285, л. 18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 xml:space="preserve">Включены 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Скуднов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П. Г. (л. 17)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Включена Тарасова Э. Д. (л. 3)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Скуднов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 П. Г. см. д. 293, л. 17, Тарасова Э. Д. см. д. 296, л. 3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«Х»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161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4A3161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BF4854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букву 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«А»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букву 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«Б»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Г»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ПЖРЭУ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И»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Ку»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букву 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«Л»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ПЖРЭУ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Сем»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букву 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«Т»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ПЖРЭУ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Г»,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–1990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1989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–1990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Н»,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1989–1990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1989–1990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Ю»,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1989–1990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Л/с Маркелова И. Е. за 1990 год см. д. 428, л. 1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161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4A3161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BF4854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района на букву 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«А»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букву 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«Б»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«К»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A3161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букву 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«С»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административно-управленческому 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административно-управленческому 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Кон»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Мил»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Л/с Тепляковой (</w:t>
            </w:r>
            <w:proofErr w:type="spellStart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Ставниковой</w:t>
            </w:r>
            <w:proofErr w:type="spellEnd"/>
            <w:r w:rsidRPr="00BF4854">
              <w:rPr>
                <w:rFonts w:ascii="Times New Roman" w:hAnsi="Times New Roman" w:cs="Times New Roman"/>
                <w:sz w:val="16"/>
                <w:szCs w:val="16"/>
              </w:rPr>
              <w:t>) Т. В. см. д. 412, л. 10</w:t>
            </w: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161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4A3161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BF4854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4A3161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4A3161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В–Д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Т–Х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административно-управленческо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ПЖРЭУ Центрального района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Ц–Я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В–Г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Д–Кол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Ку»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Сим»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Си»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Гол»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Г»,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–1994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–1994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–1994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Р–Ф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–1994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–1994 годах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Гол»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Код»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ПЖРЭУ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504а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подразделения № 89 (участок на ул. Воровского, 2) МУП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1993–1994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1993–1994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161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4A3161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BF4854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Д–Ко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С–Ф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81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81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81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Кол»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М»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механических мастерских МУП «ПЖРЭУ Центрального района»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МУП «ПЖРЭУ Центрального района»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УРТО МУП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подразделение № 89 (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обслуживающим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по ул. Воровского, 2) МУП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 МУП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 МУП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 МУП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 МУП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Чуд»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Кос»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Рас»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См»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Бел»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Бы»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Га»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Ка»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«Куц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См»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Бой»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Ком»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Ми»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В–Га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З–И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–Мам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Р–Сем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Сер–Т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У–Х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 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МУП 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Кок»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161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4A3161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BF4854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О–С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Т–Х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УРТО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УРТО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89 (обслуживающим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по ул. Воровского, 2) МУП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89 (обслуживающим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по ул. Воровского, 2) МУП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механических мастерских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механических мастерских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–Ш»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81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81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81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Ка»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Ку»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82 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Ков»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Ку»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«И»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Кл»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«Ку»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Сиз»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Кл»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Ку»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Щ»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Ка–Ко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–Ку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Па–Поз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–Се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Си–Су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Т–У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Ф–Х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Га»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–Гр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Д–Е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З–И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Пи–Р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–См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Со–У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Ф–Ч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Ш–Я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161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7F37E2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4A3161" w:rsidRDefault="004A3161" w:rsidP="004A316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4A316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4A316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BF4854" w:rsidRDefault="004A3161" w:rsidP="004A316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В–Д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Е–Кл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Ко–Л» 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Р–Си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См–У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УРТО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УРТО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механических мастерских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механических мастерских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89 (обслуживающим здание по ул. Воровского, 2)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89 (обслуживающим здание по ул. Воровского, 2)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«Д»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Ми»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«И»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Ку»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Би»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Кл»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Ку»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Мак»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Маш»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Си»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Су»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Д–З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И–Кл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Ко–Ку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Поз»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Централь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 за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161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4A3161" w:rsidRDefault="004A3161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61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24785E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161" w:rsidRPr="00BF4854" w:rsidRDefault="004A3161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4A31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 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 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УРТО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161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89 (обслуживающим здание по ул. Воровского, 2)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89 (обслуживающим здание по ул. Воровского, 2)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механических мастерских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механических мастерских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РСС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14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14 МУП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2001–2002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FAB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FAB" w:rsidRPr="0024785E" w:rsidRDefault="007F1FAB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FAB" w:rsidRPr="007F1FAB" w:rsidRDefault="007F1FAB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FAB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FAB" w:rsidRPr="0024785E" w:rsidRDefault="007F1FAB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FAB" w:rsidRPr="0024785E" w:rsidRDefault="007F1FAB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FAB" w:rsidRPr="00BF4854" w:rsidRDefault="007F1FAB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</w:t>
            </w:r>
            <w:r w:rsidR="007F1FAB">
              <w:rPr>
                <w:rFonts w:ascii="Times New Roman" w:hAnsi="Times New Roman" w:cs="Times New Roman"/>
                <w:sz w:val="24"/>
                <w:szCs w:val="24"/>
              </w:rPr>
              <w:t>я № 89 (</w:t>
            </w:r>
            <w:proofErr w:type="gramStart"/>
            <w:r w:rsidR="007F1FAB">
              <w:rPr>
                <w:rFonts w:ascii="Times New Roman" w:hAnsi="Times New Roman" w:cs="Times New Roman"/>
                <w:sz w:val="24"/>
                <w:szCs w:val="24"/>
              </w:rPr>
              <w:t>обслуживающим</w:t>
            </w:r>
            <w:proofErr w:type="gramEnd"/>
            <w:r w:rsidR="007F1FAB">
              <w:rPr>
                <w:rFonts w:ascii="Times New Roman" w:hAnsi="Times New Roman" w:cs="Times New Roman"/>
                <w:sz w:val="24"/>
                <w:szCs w:val="24"/>
              </w:rPr>
              <w:t xml:space="preserve"> здание по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ул. Воровского,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МУП «ПЖРЭУ Центрального района»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ремонтно-строительной службы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ремонтно-строительной службы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«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FAB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FAB" w:rsidRPr="0024785E" w:rsidRDefault="007F1FAB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FAB" w:rsidRPr="007F1FAB" w:rsidRDefault="007F1FAB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FAB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FAB" w:rsidRPr="0024785E" w:rsidRDefault="007F1FAB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FAB" w:rsidRPr="0024785E" w:rsidRDefault="007F1FAB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FAB" w:rsidRPr="00BF4854" w:rsidRDefault="007F1FAB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управления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 за 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89 (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обслуживающим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здание по ул. Воровского,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МУП «ПЖРЭУ Центрального района» за 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Ки» 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М» 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Ш» 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ремонтно-строительной службы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ремонтно-строительной службы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ремонтно-строительной службы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букву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ремонтно-строительной службы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ремонтно-строительной службы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ремонтно-строительной службы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2004 - 2005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2004–2005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ЖЭУ № 32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за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 МУП «ПЖРЭУ Цен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трального района»,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автотранспортного участка МУП «ПЖРЭУ Центрального района»,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подразделения № 89 (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обслуживающим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здание по ул. Воровского, 2) МУП «ПЖРЭУ Центрального района»,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аварийной службы МУП «ПЖРЭУ Центрального района»,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1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 МУП «ПЖРЭУ Центрального района»,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4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Ш»,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К»,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6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 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854" w:rsidRPr="005442FB" w:rsidTr="007F37E2">
        <w:trPr>
          <w:cantSplit/>
          <w:trHeight w:val="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37E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ЖЭУ № 32 МУП «ПЖРЭУ Центрального района», уволенны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</w:t>
            </w: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7F1F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24785E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854" w:rsidRPr="00BF4854" w:rsidRDefault="00BF4854" w:rsidP="00BF48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521" w:rsidRPr="00106A8D" w:rsidRDefault="00CD1521" w:rsidP="007F37E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21"/>
      </w:tblGrid>
      <w:tr w:rsidR="00C06B01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BF48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ЖПЭТ Центрального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7F37E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C06B01">
              <w:rPr>
                <w:rFonts w:ascii="Times New Roman" w:hAnsi="Times New Roman" w:cs="Times New Roman"/>
                <w:sz w:val="24"/>
                <w:szCs w:val="24"/>
              </w:rPr>
              <w:t>Жилищный производственно-эксплуатационный трест Центрального района (19.04.1977–31.08.1983)</w:t>
            </w:r>
          </w:p>
        </w:tc>
      </w:tr>
      <w:tr w:rsidR="00C06B01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BF48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7F37E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46233">
              <w:rPr>
                <w:rFonts w:ascii="Times New Roman" w:hAnsi="Times New Roman" w:cs="Times New Roman"/>
                <w:sz w:val="24"/>
                <w:szCs w:val="24"/>
              </w:rPr>
              <w:t>Жилищно-эксплуатационный участок</w:t>
            </w:r>
          </w:p>
        </w:tc>
      </w:tr>
      <w:tr w:rsidR="00C06B01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BF48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«ПЖРЭУ Центрального района»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A46233" w:rsidP="007F37E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A4623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по эксплуатации и ремонту жилищного фонда Центрального района г. Челябинска (15.08.1995–01.02.2010)</w:t>
            </w:r>
          </w:p>
        </w:tc>
      </w:tr>
      <w:tr w:rsidR="00C06B01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BF48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ПЖРЭУ Центрального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Pr="00A46233" w:rsidRDefault="00A46233" w:rsidP="007F37E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A46233">
              <w:rPr>
                <w:rFonts w:ascii="Times New Roman" w:hAnsi="Times New Roman" w:cs="Times New Roman"/>
                <w:sz w:val="24"/>
                <w:szCs w:val="24"/>
              </w:rPr>
              <w:t>Производственное жилищное ремонтно-эксплуатационное управление Центрального района г. Челябинска (30.08.1990–15.08.1995)</w:t>
            </w:r>
          </w:p>
        </w:tc>
      </w:tr>
      <w:tr w:rsidR="00C06B01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BF48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ПТЖХ Центрального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A46233" w:rsidP="007F37E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A46233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трест жилищного хозяйства Центрального района г. Челябинска (01.09.1983–30.08.1990)</w:t>
            </w:r>
          </w:p>
        </w:tc>
      </w:tr>
      <w:tr w:rsidR="00E34373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373" w:rsidRDefault="00E34373" w:rsidP="00BF48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373" w:rsidRDefault="00E34373" w:rsidP="007F37E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E34373">
              <w:rPr>
                <w:rFonts w:ascii="Times New Roman" w:hAnsi="Times New Roman" w:cs="Times New Roman"/>
                <w:sz w:val="24"/>
                <w:szCs w:val="24"/>
              </w:rPr>
              <w:t>Жилищное управление Центрального района ([1960] – 18.04.1977)</w:t>
            </w: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Tr="007F37E2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7F1FAB" w:rsidP="003414C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7F1FAB" w:rsidP="007F1FAB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тысяча тридцать семь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7F37E2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7F1FAB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1025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7F37E2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7F37E2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7F1FAB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67а, 67б, 67в, 101а, 101б, 101в, 101г, 101д, 101е, 101ж, 101з, 504а</w:t>
            </w:r>
          </w:p>
        </w:tc>
      </w:tr>
      <w:tr w:rsidR="00E3192D" w:rsidTr="007F37E2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7F37E2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E2" w:rsidTr="007F37E2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7F37E2" w:rsidRPr="00F05B8F" w:rsidRDefault="007F37E2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F37E2" w:rsidRPr="00CD1521" w:rsidRDefault="007F37E2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1D3DFC"/>
    <w:rsid w:val="00205929"/>
    <w:rsid w:val="00206470"/>
    <w:rsid w:val="00227E71"/>
    <w:rsid w:val="002853C6"/>
    <w:rsid w:val="00326B9D"/>
    <w:rsid w:val="003414C0"/>
    <w:rsid w:val="003A1C15"/>
    <w:rsid w:val="004338EF"/>
    <w:rsid w:val="0047370B"/>
    <w:rsid w:val="004A3161"/>
    <w:rsid w:val="004E51B8"/>
    <w:rsid w:val="005144C2"/>
    <w:rsid w:val="005442FB"/>
    <w:rsid w:val="00564164"/>
    <w:rsid w:val="006262FD"/>
    <w:rsid w:val="0064514A"/>
    <w:rsid w:val="00652EDD"/>
    <w:rsid w:val="006A3352"/>
    <w:rsid w:val="00735547"/>
    <w:rsid w:val="007A3F65"/>
    <w:rsid w:val="007E1E55"/>
    <w:rsid w:val="007F1913"/>
    <w:rsid w:val="007F1FAB"/>
    <w:rsid w:val="007F37E2"/>
    <w:rsid w:val="00834C90"/>
    <w:rsid w:val="00876BD4"/>
    <w:rsid w:val="0088117B"/>
    <w:rsid w:val="00890D9C"/>
    <w:rsid w:val="008A3685"/>
    <w:rsid w:val="008F68DD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A07245"/>
    <w:rsid w:val="00A46233"/>
    <w:rsid w:val="00AE3D7E"/>
    <w:rsid w:val="00B31B21"/>
    <w:rsid w:val="00B31D41"/>
    <w:rsid w:val="00BA15DE"/>
    <w:rsid w:val="00BF4854"/>
    <w:rsid w:val="00C06B01"/>
    <w:rsid w:val="00C63C81"/>
    <w:rsid w:val="00C97C81"/>
    <w:rsid w:val="00CA6DF0"/>
    <w:rsid w:val="00CC361E"/>
    <w:rsid w:val="00CD1521"/>
    <w:rsid w:val="00CE63A9"/>
    <w:rsid w:val="00D2635B"/>
    <w:rsid w:val="00D72EC2"/>
    <w:rsid w:val="00D7529E"/>
    <w:rsid w:val="00D80482"/>
    <w:rsid w:val="00E3192D"/>
    <w:rsid w:val="00E34373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87</Pages>
  <Words>21458</Words>
  <Characters>122312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31</cp:revision>
  <cp:lastPrinted>2022-02-03T04:38:00Z</cp:lastPrinted>
  <dcterms:created xsi:type="dcterms:W3CDTF">2022-02-02T03:44:00Z</dcterms:created>
  <dcterms:modified xsi:type="dcterms:W3CDTF">2023-05-10T06:27:00Z</dcterms:modified>
</cp:coreProperties>
</file>