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>
        <w:rPr>
          <w:rFonts w:ascii="Times New Roman" w:hAnsi="Times New Roman"/>
          <w:b/>
          <w:caps/>
          <w:sz w:val="26"/>
          <w:szCs w:val="26"/>
        </w:rPr>
        <w:t>центрального</w:t>
      </w:r>
      <w:r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</w:p>
    <w:p w:rsidR="00BA57AA" w:rsidRPr="00BA57AA" w:rsidRDefault="00BA57AA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57AA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2E2403" w:rsidRPr="00BA57AA" w:rsidRDefault="002E2403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57AA">
        <w:rPr>
          <w:rFonts w:ascii="Times New Roman" w:hAnsi="Times New Roman"/>
          <w:caps/>
          <w:sz w:val="26"/>
          <w:szCs w:val="26"/>
        </w:rPr>
        <w:t xml:space="preserve">14.09.2014 – </w:t>
      </w:r>
    </w:p>
    <w:p w:rsidR="002E2403" w:rsidRPr="00B31F94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189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7AA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7A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7A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26D34">
        <w:rPr>
          <w:rFonts w:ascii="Times New Roman" w:hAnsi="Times New Roman" w:cs="Times New Roman"/>
          <w:b/>
          <w:sz w:val="26"/>
          <w:szCs w:val="26"/>
        </w:rPr>
        <w:t>октябрь 2014 – 2022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BA57AA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BA57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F76E64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6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69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изменения в Устав;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 регистрации и постановке на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налоговый учёт Совета депутатов Центрального района за ноябрь 2014 – ноябрь 2015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Устав утвержден решением Совета от 27.11.2014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09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27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26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8B3A4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 заседаний, решения, заключения постоянной комиссии по бюджету, налогам и муниципальному имуществу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заседаний, решения,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ним за ноябрь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Устава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20 ноября 2014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8B3A4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8B3A4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17/11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A1F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77A1F" w:rsidRDefault="00477A1F" w:rsidP="00477A1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Положение об отделе организационного, правового и финансового обеспечения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02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решения №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4/7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5/4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6/4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7/12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12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8/5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14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29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10/6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23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 12/1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12/7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27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13/2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14/9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15/6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16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16/9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25.11.2015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17/11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25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8180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3 заседаний, решения, отчёт 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документы к ним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 комиссий по бюдж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 налог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 благ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землепольз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см. 2014 год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 заседаний, решения постоянной комиссии по местному самоуправлению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документы к ним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решения, план работы постоянной комиссии по жилищно-коммунальному хозяйству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 30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бюджета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05 февраля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правовые заключения, др.)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изменения в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14 мая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правовые заключения, др.) публичных слушаний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изменения в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11 ноября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36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бюджета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09 декабря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</w:t>
            </w:r>
            <w:r w:rsidR="00B77368">
              <w:rPr>
                <w:rFonts w:ascii="Times New Roman" w:hAnsi="Times New Roman" w:cs="Times New Roman"/>
                <w:sz w:val="24"/>
                <w:szCs w:val="24"/>
              </w:rPr>
              <w:t>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A91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01СД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Центрального района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, Председателя Совета депутатов Центрального района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основной деятельности за </w:t>
            </w:r>
            <w:r w:rsidR="00A91F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A91F65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4 квартал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2–3 квартал не составлялся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A91F6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,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 w:rsidR="00A91F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A91F65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решений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57AA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="003508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</w:t>
            </w:r>
            <w:proofErr w:type="gram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расходов аппарата Совета депутатов Центрального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 финансовых результатах деятельности, отчёт об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расчётам, специализированные формы, пояснительная записка)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РФ (ф. 4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ФСС)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2-МС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образовании»,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ГСМ)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«О численности и оплате труда»,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ф. П-4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«О численности и заработной плате»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Главы Центрального района, Председателя Совета депутатов </w:t>
            </w:r>
            <w:proofErr w:type="spell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уволенного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2E2403" w:rsidRDefault="002E2403" w:rsidP="002E240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0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668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ния в Устав Центрального района от 29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45</w:t>
            </w: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4C0A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18/1–18/7 Совета депутатов Центрального района первого созыва и документы к ним от 25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4C0A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решения № 19/1–19/8 Совета депутатов Центрального района первого созыва и документы к ним от 13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4C0A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решения № 20/1–20/9 Совета депутатов Центрального района первого созыва и документы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4C0A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21/1–21/4 Совета депутатов Центрального района первого созыва и 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668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заседания, решения №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Центрального района первого созыва и документы к ним от 2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668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23/1–23/9 Совета депутатов Центрального района первого созыва и документы к 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668A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 24/1–24/3 Совета депутатов Центрального района первого созыва и документы к ним от 23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14–20 заседаний, решения постоянной комиссии по местному самоуправлению Совета депутатов Центрального района и документы к 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10–15 заседаний, решения, заключения постоянной комиссии по бюджету, налогам и муниципальному имуществу Совета депутатов Це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нтрального района и документы 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5–12 заседаний, решения, за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362FF0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нтрального района и документы к </w:t>
            </w:r>
            <w:r w:rsidR="00362FF0">
              <w:rPr>
                <w:rFonts w:ascii="Times New Roman" w:hAnsi="Times New Roman" w:cs="Times New Roman"/>
                <w:sz w:val="24"/>
                <w:szCs w:val="24"/>
              </w:rPr>
              <w:t>ним за апрель–декабрь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4–8 заседаний, решения, отчет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 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17.02.2016–10.10.2016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2–7 заседания, решения, план работы постоянной комиссии по жилищно-коммунальному хозяйству Совета депутатов Центрального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по утверждению отчёта об исполнении бюджета Центрального района 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бюджета Центрального района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15.10.2016–19.12.2016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Распоряжения № 01-1СД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01-23СД, реестр </w:t>
            </w:r>
            <w:proofErr w:type="gramStart"/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распоряжений Председателя Совета депутатов Центрального района</w:t>
            </w:r>
            <w:proofErr w:type="gramEnd"/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Реестр решений №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24/3 Совета депутатов Центрального района 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первого созыва за 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362FF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 лимиты бюджетных обязательств Совета депутатов Центрального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8180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(баланс, отчёт о 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 об исполнении бюджета, др.)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8180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взносам на обязательное страхование в Фонд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страхования РФ (ф.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ФСС)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8180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8180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1-МС, ф. 2-МС, ф. П-4(НЗ) Совета депутатов Центрального района за 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D55F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Документы (реестр награждённых, представления, характеристики)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>Почетными Г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рамотами и Благодарственными письмами Совета депутатов Центрального района 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F2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430BA5" w:rsidRDefault="008F33F2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 от 22 августа 2017 года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ригинал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в д. № 71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25/1–25/8 Совета депутатов Центрального района первого созыва и документы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декабрь 2016 – 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26.12.2016–01.02.2017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Заседание 01.02.2017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26/1–26/5 Совета депутатов Центрального района первого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27/1–27/7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март – 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13.03.2017–05.04.2017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Заседание 05.04.2017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 28/1–28/5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04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29/1–29/4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 30/1–30/7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решения № 31/1–31/6 Совета депутатов Центрального района первого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 32/1–32/8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 33/1–33/6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34/1–34/5 Совета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Центрального района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21–30 заседаний, решения постоянной комиссии по местному самоуправлению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16–25 заседаний, решения, заключения постоянной комиссии по бюджету, налогам и муниципальному имуществу Совета депутатов Центрального района и документы к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13–14 заседаний,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постоянной комиссии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 и документы к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ним за 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15.02.2017–22.05.2017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заседаний, решения, отчёт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 документы к ним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10.03.2017–21.12.2017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8–13 заседания, решения, план работы постоянной комиссии по жилищно-коммунальному хозяйству Совета депутатов Центрального района 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к ним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08.02.2017–29.11.2017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экспертные заключения, протоколы заседаний оргкомитета, др.) публичных слушаний по проекту решения по утверждению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05.04.2017–27.04.2017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27.04.2017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14D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решения «О внесении изменений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 города Челябинска» за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25.05.2017–21.06.2017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21.06.2017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об утверждении Правил благоустройства территории Центрального района за 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30.10.2017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 бюджете Центрального внутригородского района Челябинского городского округа на 2018 год и на плановый период 2019–2020 годов»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30.11.2017–14.12.2017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01-1СД–01-18СД, реестр </w:t>
            </w:r>
            <w:proofErr w:type="gramStart"/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распоряжений Председателя Совета депутатов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12.01.2017–29.12.2017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Реестр решений № 25/1–34/1 Совета депутатов Центрального района первого созыва за декабрь 2016 –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26.12.2016–21.12.2017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Совета депутатов Центрального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Годовая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етная отчётность (баланс, отчёт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Расчёт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ачисленным и уплаченным взносам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в Фонд социального страхования РФ (ф. 4ФСС)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список депутатов Совета депутатов Центрального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3F2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 по кадрам (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ф. 2-МС, ф. П-4, ф. 1-Т (ГМС) Совета депутатов Центрального района за 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Реестр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аграждённых Почётными Грамотами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Совета депутатов Центрального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01.02.2017–30.11.2017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01.02.2017–22.08.2017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сентябрь–ноябрь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B3A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 комиссии по соблюдению требований к служебному поведению муниципальных служащих Совета депутатов Центрального района от 30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14D0A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</w:t>
            </w:r>
            <w:r w:rsidR="00814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14D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3508A6" w:rsidRPr="00430BA5" w:rsidTr="003508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8F33F2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430BA5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Центрального района 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 апреля 2018 года.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7B72E9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7B72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35/1–35/6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 25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 1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37/1–37/9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30.03.2018–19.04.2018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19.04.2018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38/1–38/16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23.04.2018–28.06.2018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28.06.2018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от 6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 40/1–40/8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17.09.2018–02.10.2018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02.10.2018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41 заседания, решения № 41/1–41/11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02.11.2018–22.11.2018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22.11.2018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решения № 42/1–42/5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и 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апрель–ноябрь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19.04.2018–21.11.2018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31–39 заседаний, решения постоянной комиссии по местному самоуправлению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26–33 заседаний, решения, заключения постоянной комиссии по бюджету, налогам и муниципальному имуществу Совета депутатов Центрального района и документы к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 и документы к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ним за 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26.09.2018–31.10.2018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13–16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заседаний, решения, отчёт 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13/1–14 заседания, решения, план работы постоянной комиссии по жилищно-коммунальному хозяйству Совета депутатов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май–сентябрь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15.05.2018–26.09.2018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Центрального внутригородского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2017 год»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01.03.2018–30.03.2018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Слушания 30.03.2018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 «О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 на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плановый период 2020–2021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26.11.2018–13.12.2018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01-1СД–01-31СД, реестр </w:t>
            </w:r>
            <w:proofErr w:type="gramStart"/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распоряжений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Центрального района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первого созыва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35/1–42/5 Совета депутатов Центрального района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первого созыва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 Совета депутатов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отчёт об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 работников органов местного самоуправления» (ф.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14-МО), пояснительная записка к отчёту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(ф.1-Т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(ГМС), П-4 (НЗ), 2-МС)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присвоении звания «Почётный житель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 награждении Почётными Грамотами и Благодарственными письмами Совета депутатов Центрального района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FE7C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C20B6D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C20B6D" w:rsidRDefault="00C20B6D" w:rsidP="00C20B6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keepNext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keepNext/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C20B6D" w:rsidRDefault="00C20B6D" w:rsidP="00C20B6D">
            <w:pPr>
              <w:keepNext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 за апрель 2019 – апрель 2020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 xml:space="preserve">Решения 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25.04.2019 №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45/3,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 xml:space="preserve"> от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30.04.2020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№ 7/4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№ 43 заседания, решения № 43/1–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43/6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01.02.2019–12.02.2019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12.02.2019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44 заседания, решения № 44/1–44/7 Совет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14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 45/1–45/10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решения № 46/1–46/6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 47/1–47/6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решения № 48/1–48/2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9 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49 заседа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ния, решения № 49/1–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49/6 Совет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депутатов Центрального района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5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1/1–1/8 Совета депутатов Центрального района и документы к ним от 18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 2/1–2/4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31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3/1–3/7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20.11.2019–27.11.2019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27.11.2019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16.12.2019–25.12.2019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25.12.2019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40–43; 1–4 заседаний, решения постоянной комиссии по местному самоуправлению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и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созывы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34–37; 1–3 заседаний, решения постоянной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Централь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ного района 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Первый и второй созывы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DD4947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1–б/н 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землепользованию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ним за 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6D7458" w:rsidP="006D745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феврале–сентябре не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заседаний, решения постоянной комиссии по социальной политике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за 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25.11.2019–24.12.2019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6D7458" w:rsidP="006D745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феврале–октябре  не 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1–б/н заседаний, решения постоянной комиссии по жилищно-коммунальному хозяйству Совета депутатов Централь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ного района 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за октябрь–декабрь 2019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фе</w:t>
            </w:r>
            <w:r w:rsidR="006D7458">
              <w:rPr>
                <w:rFonts w:ascii="Times New Roman" w:hAnsi="Times New Roman" w:cs="Times New Roman"/>
                <w:sz w:val="16"/>
                <w:szCs w:val="16"/>
              </w:rPr>
              <w:t xml:space="preserve">врале–сентябре 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 «Об исполнении бюджета Центрального внутригородского района Челябинского городского округ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с внутригородским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2018 год» за апрель–май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25.04.2019–15.05.2019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15.05.2019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с внутригоро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дским делением на 2020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плановый период 2021–2022 годов»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21.11.2019–11.12.2019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11.12.2019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Распоряжения № 01-1СД–01-43СД Председателя Совета депутатов Центрального района  по 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09.01.2019–30.12.2019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Реестр решений № 43/1–49/6; 1/1–4/6 Совета депутатов Центрального района первого и второго созывов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01.02.2019–25.12.2019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смету, лимиты бюджетных обязательств Совета депутатов Центрального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ультатах деятельности, отчёт об исполнении бюджета, др.)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 работников органов местного самоуправления» (ф. 14 МО)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</w:t>
            </w:r>
            <w:r w:rsidR="00DD4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кадрам 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ГМС), ф. 1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-МС, ф. П-4, ф. 2-МС,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 2–9)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присвоении звания «Почётный житель Центрального района»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07.02.2019–25.04.2019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29.05.2019–25.12.2019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награждённых Почётными Грамотами и Благодарственными письмами Совета депутатов Центрального района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07.02.2019–25.12.2019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F70176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F701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19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25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решения № 7/1–7/7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02.04.2020–30.04.2020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решения № 8/1–8/6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4 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F70176">
              <w:rPr>
                <w:rFonts w:ascii="Times New Roman" w:hAnsi="Times New Roman" w:cs="Times New Roman"/>
                <w:sz w:val="24"/>
                <w:szCs w:val="24"/>
              </w:rPr>
              <w:t>ол № 9 заседания, решения № 9/1–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9/4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27 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70176">
              <w:rPr>
                <w:rFonts w:ascii="Times New Roman" w:hAnsi="Times New Roman" w:cs="Times New Roman"/>
                <w:sz w:val="24"/>
                <w:szCs w:val="24"/>
              </w:rPr>
              <w:t>№ 10 заседания, решения № 10/1–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10/9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сентябрь–ноябрь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30.09.2020–19.11.2020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11 заседания, решения № 11/1–11/6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30.11.2020–24.12.2020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 постоянного Комитета по Регламенту и депутатской этике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от 9 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5–15 заседаний, решения постоянной комиссии по местному самоуправлению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13.02.2020–28.12.2020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4–11 заседаний, решения постоянной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 2020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13.02.2020–18.12.2020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DD4947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заседания, решение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по благоустройству и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23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февра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ле-сентябре, ноябре, декабре не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3–7 заседаний, решения постоянной комиссии по социальной политике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18.02.2020–18.11.2020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35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экспертные заключения, протокол проведения слушаний, итоговый документ, др.) проведения публичных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слушаний по проектам решений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Центрального района города Челябинска»; «Об исполнении бюджета Центрального внутригородского района Челябинского городского округа с внутригородским делением за 2019 год» за март–апрель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26.03.2020–15.04.2020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15.04.2020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с внутриг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2021 год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на плановый период 2022–2023 годов»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19.11.2020–10.12.2020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10.12.2020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Распоряжения № 01-1СД–01-353СД Председателя Совета депутатов Центрального района по 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Реестр решений № 5/1–12/6 Совета депутатов Центрального района первого созыва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19.02.2020–29.12.2020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смету, лимиты бюджетных обязательств Совета депутатов Центрального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ёт об исполнении бюджета, др.)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 работников органов местного самоуправления» (ф. 14 МО) 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(решение об объявлении конкурса; журнал описей документов кандидатов; предварительный и итоговый протоколы заседаний конкурсной комиссии; др.) о проведении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конкурса по отбору кандидатур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избрании главы Центрального района 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(личное дело победителя конкурса </w:t>
            </w:r>
            <w:proofErr w:type="spell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Ереклинцева</w:t>
            </w:r>
            <w:proofErr w:type="spell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Александровича; оценочный лист; уведомление; решения конкурсной комиссии и Совета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депутатов; др.)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конкурса по отбору кандидатур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избрании главы Центрального района за 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21.08.2020–27.08.2020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DD494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 по кадрам                          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МС), ф. П-4, ф. 2–9) Совета депутатов Центрального района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19.11.2020–24.12.2020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4689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Челябинска, принятые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от 26 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№ 12/8;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 23.12.2021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17/6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4689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заседания, решения № 12/1–12/9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декабрь 2020 – 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29.12.2020–26.01.2021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F70176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F70176">
            <w:pPr>
              <w:tabs>
                <w:tab w:val="left" w:pos="4689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4689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заседания, решения № 13/1–13/9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12.02.2021–25.03.2021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4689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14 заседания, решения № 14/1–14/11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28.04.2021–30.06.2021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4689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заседания, решения № 15/1–15/7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июль–сентябрь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12.07.2021–23.09.2021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16 заседания, решения № 16/1–16/12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 17/1–17/11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18.11.2021–23.12.2021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2–4 заседания постоянного Комитета по Регламенту и депутатской этике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май–ноябрь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14.05.2021–23.11.2021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16–25 заседаний, решения постоянной комиссии по местному самоуправлению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12–18 заседаний, решения постоянной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22.01.2021–21.12.2021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8–9 заседаний, решения постоянной комиссии по социальной политике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март–июнь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23.03.2021–28.06.2021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«Об исполнении бюджета Центрального внутригородского района Челябинского городского округа с внутр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 год» за 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29.04.2021–14.05.2021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14.05.2021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 бюджете Центрального внутригородского района Ч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дским делением на 2022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овый период 2023–2024 годов»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18.11.2021–09.12.2021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09.12.2021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01-01СД–01-32СД Председателя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11.01.2021–28.12.2021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12/7–17/4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7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Решения № 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12/1–12/6 см. реестр за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 бюджетную смету, бюджетная роспись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«О расходах и численности работников органов местного самоуправления» (ф. 14-МО)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П-2(</w:t>
            </w:r>
            <w:proofErr w:type="spell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); ф. П-2; ф. 3-информ; ф. 11(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)) о деятельности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</w:t>
            </w:r>
            <w:r w:rsidR="005D0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тчёты по кадрам 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МС), ф. П-4)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 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F70176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F701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Челябинска, принятые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C20B6D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от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29.09.2022 № 21/3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 18/1–18/14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17.02.2022–24.03.2022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Заседание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1" w:name="_GoBack"/>
            <w:bookmarkEnd w:id="1"/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 19/1–19/9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14.04.2022–28.04.2022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28.04.2022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 20/1–20/12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май–июнь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26.05.2022–30.06.2022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30.06.2022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21 заседания, решения № 21/1–21/8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17.08.2022–29.09.2022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29.09.2022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 22/1–22/13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октябрь–ноябрь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24.10.2022–17.11.2022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17.11.2022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 23/1–23/6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22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 постоянного Комитета по Регламенту и депутатской этике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от 8 июля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26–40 заседаний, решения постоянной комиссии по местному самоуправлению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16.02.2022–21.12.2022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19–25 заседаний, решения постоянной комиссии по бюджет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15.02.2022–14.11.2022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экспертные заключения, протокол проведения слушаний, итоговый документ) проведения публичных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слушаний по проекту решения «Об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внутригородского района Челябинского городского округ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а с внутригородским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 год» за 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21.04.2022–12.05.2022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12.05.2022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 внесении изменений в Устав Центрального района города Челябинска» за 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18.07.2022–08.09.2022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08.09.2022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дским делением на 2023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овый период 2024–2025 годов»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17.11.2022–15.12.2022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10.12.2022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01СД–27СД Председателя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11.01.2022–28.12.2022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18/1–23/6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февраль–декабрь2022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17.02.2022–22.12.2022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7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бюджетную смету, бюджетная роспись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«О расходах и численности работников органов местного самоуправления» (ф.14-МО)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кие отчёты (ф. П-2 (</w:t>
            </w:r>
            <w:proofErr w:type="spellStart"/>
            <w:r w:rsidR="005D05FF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 П-2; ф. 3-инфор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м; ф. 11(</w:t>
            </w:r>
            <w:proofErr w:type="gramStart"/>
            <w:r w:rsidR="005D05FF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5D05FF">
              <w:rPr>
                <w:rFonts w:ascii="Times New Roman" w:hAnsi="Times New Roman" w:cs="Times New Roman"/>
                <w:sz w:val="24"/>
                <w:szCs w:val="24"/>
              </w:rPr>
              <w:t>); ф. 4(ТЭР))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</w:t>
            </w:r>
            <w:r w:rsidR="005D05FF">
              <w:rPr>
                <w:rFonts w:ascii="Times New Roman" w:hAnsi="Times New Roman" w:cs="Times New Roman"/>
                <w:bCs/>
                <w:sz w:val="24"/>
                <w:szCs w:val="24"/>
              </w:rPr>
              <w:t>ёты по кадрам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МС), ф. П-4)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март–июнь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24.03.2022–30.06.2022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 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29.09.2022–29.12.2022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887" w:rsidRDefault="00FE7887" w:rsidP="0081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403" w:rsidRPr="00106A8D" w:rsidRDefault="002E2403" w:rsidP="008B3A4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2E2403" w:rsidRPr="00C97C81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2E2403" w:rsidP="008B3A4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="004C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2E2403" w:rsidP="008B3A42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0A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 w:rsidR="004C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2E2403" w:rsidRPr="00C97C81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4C0AAC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4C0AAC" w:rsidP="004C0A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="002E2403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2E2403" w:rsidRDefault="002E2403" w:rsidP="002E2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2E2403" w:rsidTr="004B0A4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26D34" w:rsidP="008F33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230 (двести тридцать</w:t>
            </w:r>
            <w:r w:rsidR="003508A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26D34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4B0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</w:p>
        </w:tc>
      </w:tr>
      <w:tr w:rsidR="002E2403" w:rsidTr="004B0A4E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706A3"/>
    <w:multiLevelType w:val="hybridMultilevel"/>
    <w:tmpl w:val="D5C2F5E8"/>
    <w:lvl w:ilvl="0" w:tplc="15BADFC2">
      <w:start w:val="9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08A6"/>
    <w:rsid w:val="00351C95"/>
    <w:rsid w:val="00362FF0"/>
    <w:rsid w:val="003C33B2"/>
    <w:rsid w:val="00426D34"/>
    <w:rsid w:val="004338EF"/>
    <w:rsid w:val="00477A1F"/>
    <w:rsid w:val="00486473"/>
    <w:rsid w:val="004A16D7"/>
    <w:rsid w:val="004B0A4E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D05FF"/>
    <w:rsid w:val="005D3795"/>
    <w:rsid w:val="005E4E3A"/>
    <w:rsid w:val="006262FD"/>
    <w:rsid w:val="00652EDD"/>
    <w:rsid w:val="006A3352"/>
    <w:rsid w:val="006C3BB4"/>
    <w:rsid w:val="006C523B"/>
    <w:rsid w:val="006D7458"/>
    <w:rsid w:val="0073780E"/>
    <w:rsid w:val="00744249"/>
    <w:rsid w:val="0076548F"/>
    <w:rsid w:val="007B72E9"/>
    <w:rsid w:val="007C2530"/>
    <w:rsid w:val="007D2E5B"/>
    <w:rsid w:val="007E1E55"/>
    <w:rsid w:val="007F1913"/>
    <w:rsid w:val="00814D0A"/>
    <w:rsid w:val="00834C90"/>
    <w:rsid w:val="00845F04"/>
    <w:rsid w:val="00876BD4"/>
    <w:rsid w:val="0088117B"/>
    <w:rsid w:val="00886DBA"/>
    <w:rsid w:val="00890D9C"/>
    <w:rsid w:val="008A3685"/>
    <w:rsid w:val="008B3A42"/>
    <w:rsid w:val="008F33F2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91F65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57AA"/>
    <w:rsid w:val="00C20B6D"/>
    <w:rsid w:val="00C26357"/>
    <w:rsid w:val="00C45134"/>
    <w:rsid w:val="00C63C81"/>
    <w:rsid w:val="00C74062"/>
    <w:rsid w:val="00C97C81"/>
    <w:rsid w:val="00CA6DF0"/>
    <w:rsid w:val="00CC361E"/>
    <w:rsid w:val="00CE63A9"/>
    <w:rsid w:val="00D02A8A"/>
    <w:rsid w:val="00D147E4"/>
    <w:rsid w:val="00D2635B"/>
    <w:rsid w:val="00D55F4A"/>
    <w:rsid w:val="00D90172"/>
    <w:rsid w:val="00DD4947"/>
    <w:rsid w:val="00E20F88"/>
    <w:rsid w:val="00E70DFF"/>
    <w:rsid w:val="00E7235E"/>
    <w:rsid w:val="00EE16D5"/>
    <w:rsid w:val="00F62837"/>
    <w:rsid w:val="00F668AC"/>
    <w:rsid w:val="00F70176"/>
    <w:rsid w:val="00F76E64"/>
    <w:rsid w:val="00F93D90"/>
    <w:rsid w:val="00FA5D63"/>
    <w:rsid w:val="00FA650A"/>
    <w:rsid w:val="00FA7638"/>
    <w:rsid w:val="00FE7887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24</Pages>
  <Words>6308</Words>
  <Characters>35957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64</cp:revision>
  <cp:lastPrinted>2024-04-09T05:01:00Z</cp:lastPrinted>
  <dcterms:created xsi:type="dcterms:W3CDTF">2022-02-02T03:44:00Z</dcterms:created>
  <dcterms:modified xsi:type="dcterms:W3CDTF">2024-09-26T05:59:00Z</dcterms:modified>
</cp:coreProperties>
</file>